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4CFCEF7A" w:rsidR="00FA20B0" w:rsidRDefault="00FA20B0" w:rsidP="00FA20B0">
      <w:pPr>
        <w:jc w:val="center"/>
        <w:rPr>
          <w:b/>
          <w:bCs/>
          <w:sz w:val="24"/>
          <w:szCs w:val="24"/>
        </w:rPr>
      </w:pPr>
      <w:r w:rsidRPr="00FA20B0">
        <w:rPr>
          <w:b/>
          <w:bCs/>
          <w:sz w:val="24"/>
          <w:szCs w:val="24"/>
        </w:rPr>
        <w:t>CAUSAS CAMBIO CLIMÁTICO</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proofErr w:type="spellStart"/>
      <w:r w:rsidRPr="00875A1C">
        <w:rPr>
          <w:rFonts w:ascii="Calibri" w:eastAsia="Times New Roman" w:hAnsi="Calibri" w:cs="Calibri"/>
          <w:b/>
          <w:bCs/>
          <w:color w:val="2E74B5" w:themeColor="accent5" w:themeShade="BF"/>
          <w:lang w:eastAsia="es-CL"/>
        </w:rPr>
        <w:t>Antropógenas</w:t>
      </w:r>
      <w:proofErr w:type="spellEnd"/>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xml:space="preserve">, por lo que contribuyen a aumentar el nivel de retención de la energía emitida por la superficie de la Tierra, </w:t>
      </w:r>
      <w:proofErr w:type="gramStart"/>
      <w:r w:rsidR="006B70AD">
        <w:t>y</w:t>
      </w:r>
      <w:proofErr w:type="gramEnd"/>
      <w:r w:rsidR="006B70AD">
        <w:t xml:space="preserve">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28309058" w14:textId="77777777"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lastRenderedPageBreak/>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w:t>
      </w:r>
      <w:proofErr w:type="spellStart"/>
      <w:r w:rsidR="00FE691A" w:rsidRPr="00DB5C3A">
        <w:rPr>
          <w:rFonts w:ascii="Calibri" w:eastAsia="Times New Roman" w:hAnsi="Calibri" w:cs="Calibri"/>
          <w:lang w:eastAsia="es-CL"/>
        </w:rPr>
        <w:t>labrables</w:t>
      </w:r>
      <w:proofErr w:type="spellEnd"/>
      <w:r w:rsidR="00FE691A" w:rsidRPr="00DB5C3A">
        <w:rPr>
          <w:rFonts w:ascii="Calibri" w:eastAsia="Times New Roman" w:hAnsi="Calibri" w:cs="Calibri"/>
          <w:lang w:eastAsia="es-CL"/>
        </w:rPr>
        <w:t xml:space="preserve">,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w:t>
      </w:r>
      <w:proofErr w:type="spellStart"/>
      <w:r w:rsidR="0084379C">
        <w:rPr>
          <w:rFonts w:ascii="Calibri" w:eastAsia="Times New Roman" w:hAnsi="Calibri" w:cs="Calibri"/>
          <w:lang w:eastAsia="es-CL"/>
        </w:rPr>
        <w:t>trifluoruro</w:t>
      </w:r>
      <w:proofErr w:type="spellEnd"/>
      <w:r w:rsidR="0084379C">
        <w:rPr>
          <w:rFonts w:ascii="Calibri" w:eastAsia="Times New Roman" w:hAnsi="Calibri" w:cs="Calibri"/>
          <w:lang w:eastAsia="es-CL"/>
        </w:rPr>
        <w:t xml:space="preserve">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lastRenderedPageBreak/>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887498" w:rsidRDefault="00887498" w:rsidP="00887498">
      <w:pPr>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08DA9C42" w14:textId="754D0609" w:rsidR="007C3171" w:rsidRDefault="007C3171" w:rsidP="00C9337F">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w:t>
      </w:r>
      <w:proofErr w:type="spellStart"/>
      <w:r>
        <w:rPr>
          <w:rFonts w:ascii="Calibri" w:eastAsia="Times New Roman" w:hAnsi="Calibri" w:cs="Calibri"/>
          <w:lang w:eastAsia="es-CL"/>
        </w:rPr>
        <w:t>Milankovic</w:t>
      </w:r>
      <w:proofErr w:type="spellEnd"/>
      <w:r>
        <w:rPr>
          <w:rFonts w:ascii="Calibri" w:eastAsia="Times New Roman" w:hAnsi="Calibri" w:cs="Calibri"/>
          <w:lang w:eastAsia="es-CL"/>
        </w:rPr>
        <w:t xml:space="preserve">,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 xml:space="preserve">Los ciclos de precesión </w:t>
      </w:r>
      <w:r>
        <w:rPr>
          <w:rFonts w:ascii="Calibri" w:eastAsia="Times New Roman" w:hAnsi="Calibri" w:cs="Calibri"/>
          <w:lang w:eastAsia="es-CL"/>
        </w:rPr>
        <w:t>se fundamentan en el cambio de la dirección del eje de rotación de la Tierra</w:t>
      </w:r>
      <w:r>
        <w:rPr>
          <w:rFonts w:ascii="Calibri" w:eastAsia="Times New Roman" w:hAnsi="Calibri" w:cs="Calibri"/>
          <w:lang w:eastAsia="es-CL"/>
        </w:rPr>
        <w:t xml:space="preserve">.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F71119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27E08F56">
            <wp:extent cx="3000375" cy="30003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
                      <a:extLst>
                        <a:ext uri="{28A0092B-C50C-407E-A947-70E740481C1C}">
                          <a14:useLocalDpi xmlns:a14="http://schemas.microsoft.com/office/drawing/2010/main" val="0"/>
                        </a:ext>
                      </a:extLst>
                    </a:blip>
                    <a:stretch>
                      <a:fillRect/>
                    </a:stretch>
                  </pic:blipFill>
                  <pic:spPr>
                    <a:xfrm>
                      <a:off x="0" y="0"/>
                      <a:ext cx="3000375" cy="3000375"/>
                    </a:xfrm>
                    <a:prstGeom prst="rect">
                      <a:avLst/>
                    </a:prstGeom>
                  </pic:spPr>
                </pic:pic>
              </a:graphicData>
            </a:graphic>
          </wp:inline>
        </w:drawing>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70D0E0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204AF4A2">
            <wp:extent cx="2926080" cy="29260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26080" cy="2926080"/>
                    </a:xfrm>
                    <a:prstGeom prst="rect">
                      <a:avLst/>
                    </a:prstGeom>
                  </pic:spPr>
                </pic:pic>
              </a:graphicData>
            </a:graphic>
          </wp:inline>
        </w:drawing>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t>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D1CCC67"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70B98677">
            <wp:extent cx="3542186" cy="265684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
                      <a:extLst>
                        <a:ext uri="{28A0092B-C50C-407E-A947-70E740481C1C}">
                          <a14:useLocalDpi xmlns:a14="http://schemas.microsoft.com/office/drawing/2010/main" val="0"/>
                        </a:ext>
                      </a:extLst>
                    </a:blip>
                    <a:stretch>
                      <a:fillRect/>
                    </a:stretch>
                  </pic:blipFill>
                  <pic:spPr>
                    <a:xfrm>
                      <a:off x="0" y="0"/>
                      <a:ext cx="3543020" cy="2657466"/>
                    </a:xfrm>
                    <a:prstGeom prst="rect">
                      <a:avLst/>
                    </a:prstGeom>
                  </pic:spPr>
                </pic:pic>
              </a:graphicData>
            </a:graphic>
          </wp:inline>
        </w:drawing>
      </w:r>
    </w:p>
    <w:p w14:paraId="444061AE" w14:textId="77777777" w:rsidR="002C5130" w:rsidRPr="002C5130" w:rsidRDefault="002C5130" w:rsidP="002C5130">
      <w:pPr>
        <w:spacing w:after="0" w:line="240" w:lineRule="auto"/>
        <w:jc w:val="both"/>
        <w:rPr>
          <w:rFonts w:ascii="Calibri" w:eastAsia="Times New Roman" w:hAnsi="Calibri" w:cs="Calibri"/>
          <w:color w:val="0563C1"/>
          <w:u w:val="single"/>
          <w:lang w:eastAsia="es-CL"/>
        </w:rPr>
      </w:pPr>
      <w:hyperlink r:id="rId7" w:history="1">
        <w:r w:rsidRPr="002C5130">
          <w:rPr>
            <w:rFonts w:ascii="Calibri" w:eastAsia="Times New Roman" w:hAnsi="Calibri" w:cs="Calibri"/>
            <w:color w:val="0563C1"/>
            <w:u w:val="single"/>
            <w:lang w:eastAsia="es-CL"/>
          </w:rPr>
          <w:t>https://climate.nasa.gov/news/2948/milankovitch-orbital-cycles-and-their-role-in-earths-climate/</w:t>
        </w:r>
      </w:hyperlink>
    </w:p>
    <w:p w14:paraId="78B896D6" w14:textId="77777777" w:rsidR="000044FC" w:rsidRDefault="000044FC" w:rsidP="00B3224A">
      <w:pPr>
        <w:spacing w:after="0" w:line="240" w:lineRule="auto"/>
        <w:jc w:val="both"/>
        <w:rPr>
          <w:rFonts w:ascii="Calibri" w:eastAsia="Times New Roman" w:hAnsi="Calibri" w:cs="Calibri"/>
          <w:lang w:eastAsia="es-CL"/>
        </w:rPr>
      </w:pP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148D2F3B"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26ED44C1" w14:textId="77777777" w:rsidR="00CA38FA" w:rsidRDefault="00CA38FA" w:rsidP="00CA38FA">
      <w:pPr>
        <w:spacing w:after="0" w:line="240" w:lineRule="auto"/>
        <w:jc w:val="both"/>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48EBBBA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06820BD9" w:rsidR="00CA38FA" w:rsidRPr="00731E59" w:rsidRDefault="00731E59" w:rsidP="00731E59">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p>
    <w:p w14:paraId="1875C551" w14:textId="791F6A4C" w:rsidR="00CA38FA" w:rsidRDefault="00CA38FA" w:rsidP="00CA38FA">
      <w:pPr>
        <w:rPr>
          <w:rFonts w:ascii="Calibri" w:eastAsia="Times New Roman" w:hAnsi="Calibri" w:cs="Calibri"/>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B7B59"/>
    <w:rsid w:val="002C5130"/>
    <w:rsid w:val="002D19F0"/>
    <w:rsid w:val="00345102"/>
    <w:rsid w:val="004B625B"/>
    <w:rsid w:val="005275B5"/>
    <w:rsid w:val="00547BEA"/>
    <w:rsid w:val="005E0B78"/>
    <w:rsid w:val="006211EE"/>
    <w:rsid w:val="006B70AD"/>
    <w:rsid w:val="00731E59"/>
    <w:rsid w:val="00796AC2"/>
    <w:rsid w:val="007A5455"/>
    <w:rsid w:val="007C3171"/>
    <w:rsid w:val="007F15FE"/>
    <w:rsid w:val="0081370F"/>
    <w:rsid w:val="0084379C"/>
    <w:rsid w:val="00875A1C"/>
    <w:rsid w:val="00887498"/>
    <w:rsid w:val="00996D3F"/>
    <w:rsid w:val="009E6325"/>
    <w:rsid w:val="00B3224A"/>
    <w:rsid w:val="00BE3B63"/>
    <w:rsid w:val="00BF4350"/>
    <w:rsid w:val="00C70C94"/>
    <w:rsid w:val="00C9337F"/>
    <w:rsid w:val="00CA38FA"/>
    <w:rsid w:val="00CD6AC5"/>
    <w:rsid w:val="00DA6402"/>
    <w:rsid w:val="00DB5C3A"/>
    <w:rsid w:val="00E65F72"/>
    <w:rsid w:val="00E7009F"/>
    <w:rsid w:val="00F16EFA"/>
    <w:rsid w:val="00FA20B0"/>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semiHidden/>
    <w:unhideWhenUsed/>
    <w:rsid w:val="002C5130"/>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webSettings" Target="webSettings.xml"/><Relationship Id="rId7" Type="http://schemas.openxmlformats.org/officeDocument/2006/relationships/hyperlink" Target="https://climate.nasa.gov/news/2948/milankovitch-orbital-cycles-and-their-role-in-earths-climate/"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gif"/><Relationship Id="rId10" Type="http://schemas.openxmlformats.org/officeDocument/2006/relationships/theme" Target="theme/theme1.xml"/><Relationship Id="rId4" Type="http://schemas.openxmlformats.org/officeDocument/2006/relationships/image" Target="media/image1.gif"/><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1446</TotalTime>
  <Pages>5</Pages>
  <Words>1344</Words>
  <Characters>7392</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23</cp:revision>
  <dcterms:created xsi:type="dcterms:W3CDTF">2020-09-28T22:20:00Z</dcterms:created>
  <dcterms:modified xsi:type="dcterms:W3CDTF">2020-09-30T23:35:00Z</dcterms:modified>
</cp:coreProperties>
</file>